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572" w:tblpY="1623"/>
        <w:tblOverlap w:val="never"/>
        <w:tblW w:w="8844" w:type="dxa"/>
        <w:jc w:val="center"/>
        <w:tblLayout w:type="fixed"/>
        <w:tblCellMar>
          <w:top w:w="0" w:type="dxa"/>
          <w:left w:w="28" w:type="dxa"/>
          <w:bottom w:w="0" w:type="dxa"/>
          <w:right w:w="28" w:type="dxa"/>
        </w:tblCellMar>
      </w:tblPr>
      <w:tblGrid>
        <w:gridCol w:w="8844"/>
      </w:tblGrid>
      <w:tr w14:paraId="0699C194">
        <w:tblPrEx>
          <w:tblCellMar>
            <w:top w:w="0" w:type="dxa"/>
            <w:left w:w="28" w:type="dxa"/>
            <w:bottom w:w="0" w:type="dxa"/>
            <w:right w:w="28" w:type="dxa"/>
          </w:tblCellMar>
        </w:tblPrEx>
        <w:trPr>
          <w:trHeight w:val="2856" w:hRule="atLeast"/>
          <w:jc w:val="center"/>
        </w:trPr>
        <w:tc>
          <w:tcPr>
            <w:tcW w:w="8844" w:type="dxa"/>
            <w:noWrap w:val="0"/>
            <w:vAlign w:val="center"/>
          </w:tcPr>
          <w:p w14:paraId="62014717">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240" w:lineRule="auto"/>
              <w:ind w:left="210" w:leftChars="100" w:right="210" w:rightChars="100"/>
              <w:jc w:val="distribute"/>
              <w:textAlignment w:val="bottom"/>
              <w:rPr>
                <w:rFonts w:hint="eastAsia" w:ascii="方正小标宋简体" w:eastAsia="方正小标宋简体"/>
                <w:color w:val="FF0000"/>
                <w:w w:val="80"/>
                <w:sz w:val="112"/>
                <w:szCs w:val="112"/>
              </w:rPr>
            </w:pPr>
            <w:r>
              <w:rPr>
                <w:rFonts w:hint="eastAsia" w:ascii="方正小标宋简体" w:hAnsi="方正小标宋简体" w:eastAsia="方正小标宋简体" w:cs="方正小标宋简体"/>
                <w:b w:val="0"/>
                <w:bCs w:val="0"/>
                <w:color w:val="FF0000"/>
                <w:spacing w:val="0"/>
                <w:w w:val="66"/>
                <w:sz w:val="96"/>
                <w:szCs w:val="96"/>
              </w:rPr>
              <w:t>福州黎明职业技术学院</w:t>
            </w:r>
            <w:r>
              <w:rPr>
                <w:rFonts w:hint="eastAsia" w:ascii="方正小标宋简体" w:hAnsi="方正小标宋简体" w:eastAsia="方正小标宋简体" w:cs="方正小标宋简体"/>
                <w:b w:val="0"/>
                <w:bCs w:val="0"/>
                <w:color w:val="FF0000"/>
                <w:spacing w:val="0"/>
                <w:w w:val="66"/>
                <w:sz w:val="96"/>
                <w:szCs w:val="96"/>
                <w:lang w:eastAsia="zh-CN"/>
              </w:rPr>
              <w:t>文件</w:t>
            </w:r>
          </w:p>
        </w:tc>
      </w:tr>
      <w:tr w14:paraId="415BB914">
        <w:tblPrEx>
          <w:tblCellMar>
            <w:top w:w="0" w:type="dxa"/>
            <w:left w:w="28" w:type="dxa"/>
            <w:bottom w:w="0" w:type="dxa"/>
            <w:right w:w="28" w:type="dxa"/>
          </w:tblCellMar>
        </w:tblPrEx>
        <w:trPr>
          <w:trHeight w:val="680" w:hRule="atLeast"/>
          <w:jc w:val="center"/>
        </w:trPr>
        <w:tc>
          <w:tcPr>
            <w:tcW w:w="8844" w:type="dxa"/>
            <w:noWrap w:val="0"/>
            <w:vAlign w:val="bottom"/>
          </w:tcPr>
          <w:p w14:paraId="3D0E4B97">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480" w:lineRule="auto"/>
              <w:jc w:val="center"/>
              <w:textAlignment w:val="auto"/>
              <w:rPr>
                <w:rFonts w:hint="eastAsia" w:ascii="仿宋_GB2312" w:hAnsi="仿宋" w:eastAsia="仿宋_GB2312"/>
                <w:lang w:val="en-US" w:eastAsia="zh-CN"/>
              </w:rPr>
            </w:pPr>
            <w:r>
              <w:rPr>
                <w:rFonts w:hint="eastAsia" w:ascii="方正小标宋简体" w:hAnsi="方正小标宋简体" w:eastAsia="方正小标宋简体" w:cs="方正小标宋简体"/>
                <w:b w:val="0"/>
                <w:bCs w:val="0"/>
                <w:color w:val="auto"/>
                <w:kern w:val="2"/>
                <w:sz w:val="44"/>
                <w:szCs w:val="44"/>
                <w:lang w:bidi="ar-SA"/>
              </w:rPr>
              <mc:AlternateContent>
                <mc:Choice Requires="wps">
                  <w:drawing>
                    <wp:anchor distT="0" distB="0" distL="114300" distR="114300" simplePos="0" relativeHeight="251660288" behindDoc="0" locked="0" layoutInCell="1" allowOverlap="1">
                      <wp:simplePos x="0" y="0"/>
                      <wp:positionH relativeFrom="column">
                        <wp:posOffset>-22860</wp:posOffset>
                      </wp:positionH>
                      <wp:positionV relativeFrom="paragraph">
                        <wp:posOffset>404495</wp:posOffset>
                      </wp:positionV>
                      <wp:extent cx="5622925" cy="0"/>
                      <wp:effectExtent l="0" t="22225" r="15875" b="34925"/>
                      <wp:wrapNone/>
                      <wp:docPr id="1" name="直接连接符 1"/>
                      <wp:cNvGraphicFramePr/>
                      <a:graphic xmlns:a="http://schemas.openxmlformats.org/drawingml/2006/main">
                        <a:graphicData uri="http://schemas.microsoft.com/office/word/2010/wordprocessingShape">
                          <wps:wsp>
                            <wps:cNvCnPr/>
                            <wps:spPr>
                              <a:xfrm>
                                <a:off x="0" y="0"/>
                                <a:ext cx="5622925" cy="0"/>
                              </a:xfrm>
                              <a:prstGeom prst="line">
                                <a:avLst/>
                              </a:prstGeom>
                              <a:ln w="44450" cap="flat" cmpd="sng">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31.85pt;height:0pt;width:442.75pt;z-index:251660288;mso-width-relative:page;mso-height-relative:page;" filled="f" stroked="t" coordsize="21600,21600" o:gfxdata="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Ftq/WAAAACAEAAA8AAAAAAAAAAQAgAAAAIgAAAGRycy9kb3ducmV2LnhtbFBL&#10;AQIUABQAAAAIAIdO4kCjDXpn+AEAAOUDAAAOAAAAAAAAAAEAIAAAACUBAABkcnMvZTJvRG9jLnht&#10;bFBLBQYAAAAABgAGAFkBAACPBQAAAAA=&#10;">
                      <v:fill on="f" focussize="0,0"/>
                      <v:stroke weight="3.5pt" color="#FF0000" joinstyle="round"/>
                      <v:imagedata o:title=""/>
                      <o:lock v:ext="edit" aspectratio="f"/>
                    </v:line>
                  </w:pict>
                </mc:Fallback>
              </mc:AlternateContent>
            </w:r>
            <w:r>
              <w:rPr>
                <w:rFonts w:hint="eastAsia" w:ascii="仿宋_GB2312" w:hAnsi="仿宋_GB2312" w:eastAsia="仿宋_GB2312" w:cs="仿宋_GB2312"/>
                <w:kern w:val="0"/>
                <w:sz w:val="32"/>
                <w:szCs w:val="32"/>
                <w:lang w:val="en-US" w:eastAsia="zh-CN" w:bidi="ar-SA"/>
              </w:rPr>
              <w:t>榕黎院〔2025〕23号</w:t>
            </w:r>
          </w:p>
        </w:tc>
      </w:tr>
    </w:tbl>
    <w:p w14:paraId="474804BB">
      <w:pPr>
        <w:pStyle w:val="13"/>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sz w:val="44"/>
          <w:szCs w:val="44"/>
          <w:lang w:eastAsia="zh-CN"/>
        </w:rPr>
      </w:pPr>
    </w:p>
    <w:p w14:paraId="73F81221">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sz w:val="44"/>
          <w:lang w:eastAsia="zh-CN"/>
        </w:rPr>
        <w:t>福州黎明职业技术学院</w:t>
      </w:r>
      <w:r>
        <w:rPr>
          <w:rFonts w:hint="eastAsia" w:ascii="方正小标宋简体" w:hAnsi="方正小标宋简体" w:eastAsia="方正小标宋简体" w:cs="方正小标宋简体"/>
          <w:b w:val="0"/>
          <w:bCs w:val="0"/>
          <w:sz w:val="44"/>
          <w:szCs w:val="44"/>
          <w:lang w:val="en-US" w:eastAsia="zh-CN"/>
        </w:rPr>
        <w:t>关于做好2024－2025学年学院奖学金评定工作的通知</w:t>
      </w:r>
    </w:p>
    <w:p w14:paraId="1ECA394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63F6857E">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各系（部）、产业学院及有关处室：</w:t>
      </w:r>
    </w:p>
    <w:p w14:paraId="13AEEBA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为激励广大学生刻苦学习、奋发向上，积极进取，根据《福州黎明职业技术学院优秀学生奖学金评选办法（试行）》，我院将组织开展2024-2025学年优秀学生奖学金评定工作。现将有关事项通知如下：</w:t>
      </w:r>
    </w:p>
    <w:p w14:paraId="694E7A91">
      <w:pPr>
        <w:pStyle w:val="8"/>
        <w:keepNext w:val="0"/>
        <w:keepLines w:val="0"/>
        <w:pageBreakBefore w:val="0"/>
        <w:widowControl w:val="0"/>
        <w:shd w:val="clear" w:color="auto" w:fill="FFFFFF"/>
        <w:kinsoku/>
        <w:wordWrap/>
        <w:overflowPunct/>
        <w:topLinePunct w:val="0"/>
        <w:autoSpaceDE/>
        <w:autoSpaceDN/>
        <w:bidi w:val="0"/>
        <w:adjustRightInd/>
        <w:snapToGrid/>
        <w:spacing w:before="0" w:beforeLines="0" w:beforeAutospacing="0" w:after="0" w:afterLines="0" w:afterAutospacing="0" w:line="600" w:lineRule="exact"/>
        <w:ind w:firstLine="640" w:firstLineChars="200"/>
        <w:jc w:val="left"/>
        <w:textAlignment w:val="auto"/>
        <w:rPr>
          <w:rFonts w:hint="eastAsia" w:ascii="黑体" w:hAnsi="宋体" w:eastAsia="黑体" w:cs="黑体"/>
          <w:b w:val="0"/>
          <w:bCs/>
          <w:color w:val="auto"/>
          <w:sz w:val="32"/>
          <w:szCs w:val="32"/>
          <w:shd w:val="clear" w:color="auto" w:fill="FFFFFF"/>
          <w:lang w:val="en-US" w:eastAsia="zh-CN"/>
        </w:rPr>
      </w:pPr>
      <w:r>
        <w:rPr>
          <w:rFonts w:hint="eastAsia" w:ascii="黑体" w:hAnsi="宋体" w:eastAsia="黑体" w:cs="黑体"/>
          <w:b w:val="0"/>
          <w:bCs/>
          <w:color w:val="auto"/>
          <w:sz w:val="32"/>
          <w:szCs w:val="32"/>
          <w:shd w:val="clear" w:color="auto" w:fill="FFFFFF"/>
          <w:lang w:val="en-US" w:eastAsia="zh-CN"/>
        </w:rPr>
        <w:t>一、组织领导</w:t>
      </w:r>
    </w:p>
    <w:p w14:paraId="490E0CE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为加强对学院优秀学生奖学金评定工作的领导，学院成立优秀学生奖学金评选工作领导小组，成员名单如下：</w:t>
      </w:r>
    </w:p>
    <w:p w14:paraId="5251034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组  长：范超峰</w:t>
      </w:r>
    </w:p>
    <w:p w14:paraId="68B66EE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副组长：刘  鹏</w:t>
      </w:r>
    </w:p>
    <w:p w14:paraId="4594C58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成  员：翁秀榕  钟春玉  陈伟伟  郑  禾  赵雅晶</w:t>
      </w:r>
    </w:p>
    <w:p w14:paraId="57F212E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1280" w:firstLineChars="4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曾建雄  薛伟强  郑嘉熠  毛永千</w:t>
      </w:r>
    </w:p>
    <w:p w14:paraId="5238456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下设评审办公室、学业优秀奖学金评审小组、社会工作优秀奖学金评审小组、素质拓展优秀奖学金评审小组和创新创业优秀奖学金评审小组，成员名单如下：</w:t>
      </w:r>
    </w:p>
    <w:p w14:paraId="072930A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（一）评审办公室</w:t>
      </w:r>
    </w:p>
    <w:p w14:paraId="6963104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  任：陈伟伟（兼）</w:t>
      </w:r>
    </w:p>
    <w:p w14:paraId="32318BF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副主任：吴映华  黄  健  罗晋煌</w:t>
      </w:r>
    </w:p>
    <w:p w14:paraId="33B88CE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成  员：杨雨珊  林晨育 </w:t>
      </w:r>
    </w:p>
    <w:p w14:paraId="2316275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（二）学业优秀奖学金评审小组</w:t>
      </w:r>
    </w:p>
    <w:p w14:paraId="4F4485C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  任：钟春玉</w:t>
      </w:r>
    </w:p>
    <w:p w14:paraId="5A29CB5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成  员：郑  禾  赵雅晶  曾建雄  薛伟强  郑嘉熠</w:t>
      </w:r>
    </w:p>
    <w:p w14:paraId="6C0B886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8" w:leftChars="304" w:firstLine="0" w:firstLineChars="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毛永千</w:t>
      </w:r>
    </w:p>
    <w:p w14:paraId="0988182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（三）社会工作、素质拓展、创新创业优秀奖学金评审小组</w:t>
      </w:r>
    </w:p>
    <w:p w14:paraId="13E10E7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主  任：陈伟伟（兼）</w:t>
      </w:r>
    </w:p>
    <w:p w14:paraId="7E0072E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238" w:leftChars="304" w:hanging="1600" w:hanging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成  员：郑爱清  林鸿燕  孙丽平  罗钰堂  柯华珍</w:t>
      </w:r>
    </w:p>
    <w:p w14:paraId="1948F44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2235" w:leftChars="912" w:hanging="320" w:hangingChars="1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刘锦源  聂计闽  林晨育  叶祖煌  曹文干</w:t>
      </w:r>
    </w:p>
    <w:p w14:paraId="2DEE05B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1918" w:leftChars="304" w:hanging="1280" w:hangingChars="4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张梦珠       </w:t>
      </w:r>
    </w:p>
    <w:p w14:paraId="5CFEB52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各系成立优秀学生奖学金评选工作组，由系主任任组长，系党总支（支部）负责人任副组长，辅导员、班主任、教师代表、主要学生干部为成员，负责本系优秀学生奖学金的评定工作。各班级成立优秀学生奖学金评选工作小组，由辅导员任组长，班主任、班干部、学生代表为成员，负责本班级优秀学生奖学金的评定工作。</w:t>
      </w:r>
    </w:p>
    <w:p w14:paraId="11A2D75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黑体" w:hAnsi="宋体" w:eastAsia="黑体" w:cs="黑体"/>
          <w:b w:val="0"/>
          <w:bCs/>
          <w:color w:val="auto"/>
          <w:kern w:val="0"/>
          <w:sz w:val="32"/>
          <w:szCs w:val="32"/>
          <w:shd w:val="clear" w:color="auto" w:fill="FFFFFF"/>
          <w:lang w:val="en-US" w:eastAsia="zh-CN" w:bidi="ar-SA"/>
        </w:rPr>
        <w:t>二、评定对象</w:t>
      </w:r>
      <w:r>
        <w:rPr>
          <w:rFonts w:hint="eastAsia" w:ascii="仿宋_GB2312" w:hAnsi="仿宋_GB2312" w:eastAsia="仿宋_GB2312" w:cs="仿宋_GB2312"/>
          <w:color w:val="auto"/>
          <w:sz w:val="32"/>
          <w:szCs w:val="32"/>
          <w:lang w:val="en-US" w:eastAsia="zh-CN"/>
        </w:rPr>
        <w:t>：2023、2024级在校生</w:t>
      </w:r>
    </w:p>
    <w:p w14:paraId="0633027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黑体" w:hAnsi="宋体" w:eastAsia="黑体" w:cs="黑体"/>
          <w:b w:val="0"/>
          <w:bCs/>
          <w:color w:val="auto"/>
          <w:kern w:val="0"/>
          <w:sz w:val="32"/>
          <w:szCs w:val="32"/>
          <w:shd w:val="clear" w:color="auto" w:fill="FFFFFF"/>
          <w:lang w:val="en-US" w:eastAsia="zh-CN" w:bidi="ar-SA"/>
        </w:rPr>
        <w:t>三、评定时间</w:t>
      </w:r>
      <w:r>
        <w:rPr>
          <w:rFonts w:hint="eastAsia" w:ascii="仿宋_GB2312" w:hAnsi="仿宋_GB2312" w:eastAsia="仿宋_GB2312" w:cs="仿宋_GB2312"/>
          <w:color w:val="auto"/>
          <w:sz w:val="32"/>
          <w:szCs w:val="32"/>
          <w:lang w:val="en-US" w:eastAsia="zh-CN"/>
        </w:rPr>
        <w:t>：2025年10月27日—2025年12月10日</w:t>
      </w:r>
    </w:p>
    <w:p w14:paraId="7F7C005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黑体" w:hAnsi="宋体" w:eastAsia="黑体" w:cs="黑体"/>
          <w:b w:val="0"/>
          <w:bCs/>
          <w:color w:val="auto"/>
          <w:kern w:val="0"/>
          <w:sz w:val="32"/>
          <w:szCs w:val="32"/>
          <w:shd w:val="clear" w:color="auto" w:fill="FFFFFF"/>
          <w:lang w:val="en-US" w:eastAsia="zh-CN" w:bidi="ar-SA"/>
        </w:rPr>
        <w:t>四、评选实施</w:t>
      </w:r>
      <w:r>
        <w:rPr>
          <w:rFonts w:hint="eastAsia" w:ascii="仿宋_GB2312" w:hAnsi="仿宋_GB2312" w:eastAsia="仿宋_GB2312" w:cs="仿宋_GB2312"/>
          <w:color w:val="auto"/>
          <w:sz w:val="32"/>
          <w:szCs w:val="32"/>
          <w:lang w:val="en-US" w:eastAsia="zh-CN"/>
        </w:rPr>
        <w:t>：</w:t>
      </w:r>
    </w:p>
    <w:p w14:paraId="0810005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（一）宣传发动</w:t>
      </w:r>
    </w:p>
    <w:p w14:paraId="1FA723F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10月27日</w:t>
      </w:r>
      <w:r>
        <w:rPr>
          <w:rFonts w:hint="eastAsia" w:ascii="仿宋_GB2312" w:hAnsi="仿宋_GB2312" w:eastAsia="仿宋_GB2312" w:cs="仿宋_GB2312"/>
          <w:color w:val="auto"/>
          <w:sz w:val="32"/>
          <w:szCs w:val="32"/>
          <w:lang w:val="en-US" w:eastAsia="zh-CN"/>
        </w:rPr>
        <w:t>前，各系组织召开奖学金评定动员会，组建系、班二级评选机构，集中组织有关干部进行业务培训学习。同时，在充分学习领会的基础上，分年级、分班级进行班会动员，公开评选办法、评选条件、评选程序等重要信息，向学生解读奖学金评定相关政策规定。</w:t>
      </w:r>
    </w:p>
    <w:p w14:paraId="24BDB1F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（二）学生测评</w:t>
      </w:r>
    </w:p>
    <w:p w14:paraId="2801095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10月31日</w:t>
      </w:r>
      <w:r>
        <w:rPr>
          <w:rFonts w:hint="eastAsia" w:ascii="仿宋_GB2312" w:hAnsi="仿宋_GB2312" w:eastAsia="仿宋_GB2312" w:cs="仿宋_GB2312"/>
          <w:color w:val="auto"/>
          <w:sz w:val="32"/>
          <w:szCs w:val="32"/>
          <w:lang w:val="en-US" w:eastAsia="zh-CN"/>
        </w:rPr>
        <w:t>前，各系按照《福州黎明职业技术学院学生综合素质测评管理办法》组织学生进行综合素质测评，对学生德智体美劳等方面的综合表现进行全面科学地评价，完成学生综合素质测评量化评分表及学生综合素质测评成绩表并在规定时间、范围内公示测评内容和结果。</w:t>
      </w:r>
    </w:p>
    <w:p w14:paraId="2E5F85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（三）个人申请</w:t>
      </w:r>
    </w:p>
    <w:p w14:paraId="10ECD7F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11月3日前</w:t>
      </w:r>
      <w:r>
        <w:rPr>
          <w:rFonts w:hint="eastAsia" w:ascii="仿宋_GB2312" w:hAnsi="仿宋_GB2312" w:eastAsia="仿宋_GB2312" w:cs="仿宋_GB2312"/>
          <w:color w:val="auto"/>
          <w:sz w:val="32"/>
          <w:szCs w:val="32"/>
          <w:lang w:val="en-US" w:eastAsia="zh-CN"/>
        </w:rPr>
        <w:t>，学生本人向所在班级提出申请，填写相应类别奖学金《申请审批表》（附件1、2、3、4），</w:t>
      </w:r>
      <w:r>
        <w:rPr>
          <w:rFonts w:hint="eastAsia" w:ascii="仿宋_GB2312" w:hAnsi="仿宋_GB2312" w:eastAsia="仿宋_GB2312" w:cs="仿宋_GB2312"/>
          <w:b/>
          <w:bCs/>
          <w:color w:val="auto"/>
          <w:sz w:val="32"/>
          <w:szCs w:val="32"/>
          <w:lang w:val="en-US" w:eastAsia="zh-CN"/>
        </w:rPr>
        <w:t>素质拓展奖学金和创新创业优秀奖学金需提供佐证材料（如奖状复印件等），团体赛事由团队负责人统一申报奖学金</w:t>
      </w:r>
      <w:r>
        <w:rPr>
          <w:rFonts w:hint="eastAsia" w:ascii="仿宋_GB2312" w:hAnsi="仿宋_GB2312" w:eastAsia="仿宋_GB2312" w:cs="仿宋_GB2312"/>
          <w:color w:val="auto"/>
          <w:sz w:val="32"/>
          <w:szCs w:val="32"/>
          <w:lang w:val="en-US" w:eastAsia="zh-CN"/>
        </w:rPr>
        <w:t>；</w:t>
      </w:r>
    </w:p>
    <w:p w14:paraId="5551E97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（四）班级审核</w:t>
      </w:r>
    </w:p>
    <w:p w14:paraId="4D92237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11月10日前</w:t>
      </w:r>
      <w:r>
        <w:rPr>
          <w:rFonts w:hint="eastAsia" w:ascii="仿宋_GB2312" w:hAnsi="仿宋_GB2312" w:eastAsia="仿宋_GB2312" w:cs="仿宋_GB2312"/>
          <w:color w:val="auto"/>
          <w:sz w:val="32"/>
          <w:szCs w:val="32"/>
          <w:lang w:val="en-US" w:eastAsia="zh-CN"/>
        </w:rPr>
        <w:t>，各班级评选工作小组对照优秀学生奖学金评选条件以及申请人各方面的表现，进行充分讨论，辅导员和班委会共同研究确定合格名单后报系部评选工作组；</w:t>
      </w:r>
    </w:p>
    <w:p w14:paraId="4072D83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（五）系部评审</w:t>
      </w:r>
    </w:p>
    <w:p w14:paraId="7D72952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11月17日前</w:t>
      </w:r>
      <w:r>
        <w:rPr>
          <w:rFonts w:hint="eastAsia" w:ascii="仿宋_GB2312" w:hAnsi="仿宋_GB2312" w:eastAsia="仿宋_GB2312" w:cs="仿宋_GB2312"/>
          <w:color w:val="auto"/>
          <w:sz w:val="32"/>
          <w:szCs w:val="32"/>
          <w:lang w:val="en-US" w:eastAsia="zh-CN"/>
        </w:rPr>
        <w:t>，各系评选工作组组织系部初审、答辩，初步确定建议名单，并在全系范围内公示3个工作日，公示无异议后报学院评审小组；</w:t>
      </w:r>
    </w:p>
    <w:p w14:paraId="0854422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（六）学院评审小组评审</w:t>
      </w:r>
    </w:p>
    <w:p w14:paraId="3E1050F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11月30日前</w:t>
      </w:r>
      <w:r>
        <w:rPr>
          <w:rFonts w:hint="eastAsia" w:ascii="仿宋_GB2312" w:hAnsi="仿宋_GB2312" w:eastAsia="仿宋_GB2312" w:cs="仿宋_GB2312"/>
          <w:color w:val="auto"/>
          <w:sz w:val="32"/>
          <w:szCs w:val="32"/>
          <w:lang w:val="en-US" w:eastAsia="zh-CN"/>
        </w:rPr>
        <w:t>，学院评审小组组织申请学生集中答辩、复审，确定奖学金获得者候选人名单，并报学院评审办公室；</w:t>
      </w:r>
    </w:p>
    <w:p w14:paraId="066D7AC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（七）学院评选领导小组审定</w:t>
      </w:r>
    </w:p>
    <w:p w14:paraId="3C3A584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12月10日</w:t>
      </w:r>
      <w:r>
        <w:rPr>
          <w:rFonts w:hint="eastAsia" w:ascii="仿宋_GB2312" w:hAnsi="仿宋_GB2312" w:eastAsia="仿宋_GB2312" w:cs="仿宋_GB2312"/>
          <w:color w:val="auto"/>
          <w:sz w:val="32"/>
          <w:szCs w:val="32"/>
          <w:lang w:val="en-US" w:eastAsia="zh-CN"/>
        </w:rPr>
        <w:t>前，学院评审办公室汇总学院评审小组提交的名单，拟定学院获奖者候选人名单，报学院评选领导小组审定后，在校内公示5个工作日；</w:t>
      </w:r>
    </w:p>
    <w:p w14:paraId="5C12BA8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楷体" w:hAnsi="楷体" w:eastAsia="楷体" w:cs="楷体"/>
          <w:b/>
          <w:bCs/>
          <w:color w:val="auto"/>
          <w:sz w:val="32"/>
          <w:szCs w:val="32"/>
          <w:lang w:val="en-US" w:eastAsia="zh-CN"/>
        </w:rPr>
      </w:pPr>
      <w:r>
        <w:rPr>
          <w:rFonts w:hint="eastAsia" w:ascii="楷体" w:hAnsi="楷体" w:eastAsia="楷体" w:cs="楷体"/>
          <w:b/>
          <w:bCs/>
          <w:color w:val="auto"/>
          <w:sz w:val="32"/>
          <w:szCs w:val="32"/>
          <w:lang w:val="en-US" w:eastAsia="zh-CN"/>
        </w:rPr>
        <w:t>（八）公布表彰</w:t>
      </w:r>
    </w:p>
    <w:p w14:paraId="3D39DC4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公示无异议后，学院将进行集中表彰。</w:t>
      </w:r>
    </w:p>
    <w:p w14:paraId="1F324DA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kern w:val="0"/>
          <w:sz w:val="32"/>
          <w:szCs w:val="32"/>
          <w:shd w:val="clear" w:color="auto" w:fill="FFFFFF"/>
          <w:lang w:val="en-US" w:eastAsia="zh-CN" w:bidi="ar-SA"/>
        </w:rPr>
      </w:pPr>
      <w:r>
        <w:rPr>
          <w:rFonts w:hint="eastAsia" w:ascii="黑体" w:hAnsi="黑体" w:eastAsia="黑体" w:cs="黑体"/>
          <w:b w:val="0"/>
          <w:bCs/>
          <w:color w:val="auto"/>
          <w:kern w:val="0"/>
          <w:sz w:val="32"/>
          <w:szCs w:val="32"/>
          <w:shd w:val="clear" w:color="auto" w:fill="FFFFFF"/>
          <w:lang w:val="en-US" w:eastAsia="zh-CN" w:bidi="ar-SA"/>
        </w:rPr>
        <w:t>五、相关要求及说明</w:t>
      </w:r>
    </w:p>
    <w:p w14:paraId="6E56175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奖学金评定工作是我院激励学生奋发向上、勤奋进取的重要措施，具有重要的导向性意义。各有关处、系要认真学习相关文件精神，熟悉有关政策规定和操作规程，做到评审全过程“公开、公平、公正”；要坚持“宁缺勿滥、优中选优”的原则，认真把关，确保评审质量；要加强业务沟通，及时规整上报材料，有序地组织好各项评审工作。</w:t>
      </w:r>
    </w:p>
    <w:p w14:paraId="2F9C4C4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学生测评、班级评审、系部评审是奖学金评审的基础性工程，各系要加强对评奖过程和评奖结果的监督，严格落实班级、系部二级公示制度，畅通意见反馈渠道，有效预防错误计算、虚报漏报和假公济私等问题，严肃查处相关责任人并严禁其三年内评选奖学金。对于学生反映的问题、意见或异议，应及时予以调查解决。</w:t>
      </w:r>
    </w:p>
    <w:p w14:paraId="7FF4A37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（三）各系要以评定奖学金为契机，开展争优创先活动，加强对学生的感恩、诚信教育，树立正确导向，激励学生德智体美劳全面发展。</w:t>
      </w:r>
    </w:p>
    <w:p w14:paraId="7D70FA9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（四）关于奖学金评选办法的补充说明：</w:t>
      </w:r>
    </w:p>
    <w:p w14:paraId="2E9D54D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1.同一学年内，符合条件的学生可同时申请学业优秀奖学金、社会工作优秀奖学金、素质拓展优秀奖学金和创新创业优秀奖学金。</w:t>
      </w:r>
    </w:p>
    <w:p w14:paraId="7B8A8C3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2.学业各科成绩（含考试、考查科目，不含体育课）存在补考、重修者，不得申请学业优秀奖学金。</w:t>
      </w:r>
      <w:r>
        <w:rPr>
          <w:rFonts w:hint="eastAsia" w:ascii="仿宋_GB2312" w:hAnsi="仿宋_GB2312" w:eastAsia="仿宋_GB2312" w:cs="仿宋_GB2312"/>
          <w:b/>
          <w:bCs/>
          <w:color w:val="auto"/>
          <w:sz w:val="32"/>
          <w:szCs w:val="32"/>
          <w:lang w:val="en-US" w:eastAsia="zh-CN"/>
        </w:rPr>
        <w:t>2024-2025学年期间受警告及以上处分的学生，不得申请奖学金。</w:t>
      </w:r>
    </w:p>
    <w:p w14:paraId="551A9CC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3.申请学业优秀奖学金，同等条件下，学生综合素质测评智育成绩排名靠前者优先。申请社会工作优秀奖学金，同等条件下，学生综合素质测评德育成绩排名靠前者优先。</w:t>
      </w:r>
    </w:p>
    <w:p w14:paraId="1E5340A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（五）各系以系部为单位上报材料：</w:t>
      </w:r>
    </w:p>
    <w:p w14:paraId="1914501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1.奖学金申请审批表及佐证材料（附件1、2、3、4，纸质版）；</w:t>
      </w:r>
    </w:p>
    <w:p w14:paraId="34A6CD0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2.学生综合素质测评量化评分表（附件5，纸质版）；</w:t>
      </w:r>
    </w:p>
    <w:p w14:paraId="5F7C7AA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3.学生综合素质测评成绩表（附件6，电子版），</w:t>
      </w:r>
      <w:r>
        <w:rPr>
          <w:rFonts w:hint="eastAsia" w:ascii="仿宋_GB2312" w:hAnsi="仿宋_GB2312" w:eastAsia="仿宋_GB2312" w:cs="仿宋_GB2312"/>
          <w:b/>
          <w:bCs/>
          <w:color w:val="auto"/>
          <w:sz w:val="32"/>
          <w:szCs w:val="32"/>
          <w:lang w:val="en-US" w:eastAsia="zh-CN"/>
        </w:rPr>
        <w:t>每个专业独立建立一个excel表格</w:t>
      </w:r>
      <w:r>
        <w:rPr>
          <w:rFonts w:hint="eastAsia" w:ascii="仿宋_GB2312" w:hAnsi="仿宋_GB2312" w:eastAsia="仿宋_GB2312" w:cs="仿宋_GB2312"/>
          <w:color w:val="auto"/>
          <w:sz w:val="32"/>
          <w:szCs w:val="32"/>
          <w:lang w:val="en-US" w:eastAsia="zh-CN"/>
        </w:rPr>
        <w:t>，并以如“2024-2025学年2023工程造价学生综合素质测评成绩表”命名。</w:t>
      </w:r>
    </w:p>
    <w:p w14:paraId="6816AB8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4.成立</w:t>
      </w:r>
      <w:bookmarkStart w:id="0" w:name="OLE_LINK28"/>
      <w:r>
        <w:rPr>
          <w:rFonts w:hint="eastAsia" w:ascii="仿宋_GB2312" w:hAnsi="仿宋_GB2312" w:eastAsia="仿宋_GB2312" w:cs="仿宋_GB2312"/>
          <w:color w:val="auto"/>
          <w:sz w:val="32"/>
          <w:szCs w:val="32"/>
          <w:lang w:val="en-US" w:eastAsia="zh-CN"/>
        </w:rPr>
        <w:t>学院奖学金评审小组文件（电子版、纸质版）；学业优秀奖学金、社会工作优秀奖学金公示</w:t>
      </w:r>
      <w:bookmarkEnd w:id="0"/>
      <w:r>
        <w:rPr>
          <w:rFonts w:hint="eastAsia" w:ascii="仿宋_GB2312" w:hAnsi="仿宋_GB2312" w:eastAsia="仿宋_GB2312" w:cs="仿宋_GB2312"/>
          <w:color w:val="auto"/>
          <w:sz w:val="32"/>
          <w:szCs w:val="32"/>
          <w:lang w:val="en-US" w:eastAsia="zh-CN"/>
        </w:rPr>
        <w:t>文件（电子版、纸质版）；奖学金申请学生信息汇总表（附件7，电子版）；</w:t>
      </w:r>
    </w:p>
    <w:p w14:paraId="313DDCF0">
      <w:pPr>
        <w:pStyle w:val="2"/>
        <w:rPr>
          <w:rFonts w:hint="default"/>
          <w:lang w:val="en-US" w:eastAsia="zh-CN"/>
        </w:rPr>
      </w:pPr>
    </w:p>
    <w:p w14:paraId="4430D44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评审办公室联系人：林晨育，邮箱：961021374@qq.com。</w:t>
      </w:r>
    </w:p>
    <w:p w14:paraId="437ACF0F">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lang w:val="en-US" w:eastAsia="zh-CN"/>
        </w:rPr>
      </w:pPr>
    </w:p>
    <w:p w14:paraId="3416BFA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附件：1.学业优秀奖学金申请审批表</w:t>
      </w:r>
    </w:p>
    <w:p w14:paraId="4F98D7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2.社会工作优秀奖学金申请审批表</w:t>
      </w:r>
    </w:p>
    <w:p w14:paraId="77CEA14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3.素质拓展优秀奖学金申请审批表</w:t>
      </w:r>
    </w:p>
    <w:p w14:paraId="294E81D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4.创新创业优秀奖学金申请审批表</w:t>
      </w:r>
    </w:p>
    <w:p w14:paraId="31E5D18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lang w:val="en-US" w:eastAsia="zh-CN"/>
        </w:rPr>
      </w:pPr>
      <w:r>
        <w:rPr>
          <w:rFonts w:hint="eastAsia" w:ascii="仿宋_GB2312" w:hAnsi="仿宋_GB2312" w:eastAsia="仿宋_GB2312" w:cs="仿宋_GB2312"/>
          <w:color w:val="auto"/>
          <w:sz w:val="32"/>
          <w:szCs w:val="32"/>
          <w:lang w:val="en-US" w:eastAsia="zh-CN"/>
        </w:rPr>
        <w:t>5.学生综合素质测评量化评分表</w:t>
      </w:r>
    </w:p>
    <w:p w14:paraId="022B77F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6.学生综合素质测评成绩表</w:t>
      </w:r>
    </w:p>
    <w:p w14:paraId="7191A3F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050" w:firstLineChars="500"/>
        <w:textAlignment w:val="auto"/>
        <w:rPr>
          <w:rFonts w:hint="default" w:ascii="仿宋_GB2312" w:hAnsi="仿宋_GB2312" w:eastAsia="仿宋_GB2312" w:cs="仿宋_GB2312"/>
          <w:color w:val="auto"/>
          <w:sz w:val="32"/>
          <w:szCs w:val="32"/>
          <w:lang w:val="en-US" w:eastAsia="zh-CN"/>
        </w:rPr>
      </w:pPr>
      <w:r>
        <w:rPr>
          <w:rFonts w:hint="eastAsia"/>
          <w:lang w:val="en-US" w:eastAsia="zh-CN"/>
        </w:rPr>
        <w:t xml:space="preserve">     </w:t>
      </w:r>
      <w:r>
        <w:rPr>
          <w:rFonts w:hint="eastAsia" w:ascii="仿宋_GB2312" w:hAnsi="仿宋_GB2312" w:eastAsia="仿宋_GB2312" w:cs="仿宋_GB2312"/>
          <w:color w:val="auto"/>
          <w:sz w:val="32"/>
          <w:szCs w:val="32"/>
          <w:lang w:val="en-US" w:eastAsia="zh-CN"/>
        </w:rPr>
        <w:t>7.奖学金申请学生信息汇总表</w:t>
      </w:r>
    </w:p>
    <w:p w14:paraId="2AC91EE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1600" w:firstLineChars="5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8.2024—2025学年学院奖学金名额分配表</w:t>
      </w:r>
    </w:p>
    <w:p w14:paraId="74A90BA6">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p>
    <w:p w14:paraId="20E2FAD0">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福州黎明职业技术学院</w:t>
      </w:r>
    </w:p>
    <w:p w14:paraId="41A4FBFA">
      <w:pPr>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default" w:ascii="方正小标宋简体" w:hAnsi="方正小标宋简体" w:eastAsia="方正小标宋简体" w:cs="方正小标宋简体"/>
          <w:b w:val="0"/>
          <w:bCs w:val="0"/>
          <w:sz w:val="44"/>
          <w:szCs w:val="44"/>
          <w:lang w:val="en-US" w:eastAsia="zh-CN"/>
        </w:rPr>
      </w:pPr>
      <w:r>
        <w:rPr>
          <w:rFonts w:hint="eastAsia" w:ascii="仿宋_GB2312" w:hAnsi="仿宋_GB2312" w:eastAsia="仿宋_GB2312" w:cs="仿宋_GB2312"/>
          <w:color w:val="auto"/>
          <w:sz w:val="32"/>
          <w:szCs w:val="32"/>
          <w:lang w:val="en-US" w:eastAsia="zh-CN"/>
        </w:rPr>
        <w:t xml:space="preserve">                                2025年10月24日</w:t>
      </w:r>
    </w:p>
    <w:p w14:paraId="535F05A6">
      <w:pPr>
        <w:pStyle w:val="3"/>
        <w:ind w:left="0" w:leftChars="0" w:firstLine="0" w:firstLineChars="0"/>
        <w:rPr>
          <w:rFonts w:hint="default" w:ascii="方正小标宋简体" w:hAnsi="方正小标宋简体" w:eastAsia="方正小标宋简体" w:cs="方正小标宋简体"/>
          <w:b w:val="0"/>
          <w:bCs w:val="0"/>
          <w:sz w:val="44"/>
          <w:szCs w:val="44"/>
          <w:lang w:val="en-US" w:eastAsia="zh-CN"/>
        </w:rPr>
      </w:pPr>
      <w:bookmarkStart w:id="1" w:name="_GoBack"/>
      <w:bookmarkEnd w:id="1"/>
    </w:p>
    <w:tbl>
      <w:tblPr>
        <w:tblStyle w:val="10"/>
        <w:tblpPr w:leftFromText="181" w:rightFromText="181" w:vertAnchor="page" w:horzAnchor="page" w:tblpX="1532" w:tblpY="14673"/>
        <w:tblOverlap w:val="never"/>
        <w:tblW w:w="0" w:type="auto"/>
        <w:jc w:val="center"/>
        <w:tblBorders>
          <w:top w:val="single" w:color="auto" w:sz="12" w:space="0"/>
          <w:left w:val="none" w:color="auto" w:sz="0" w:space="0"/>
          <w:bottom w:val="single" w:color="auto" w:sz="12" w:space="0"/>
          <w:right w:val="none" w:color="auto" w:sz="0" w:space="0"/>
          <w:insideH w:val="single" w:color="auto" w:sz="4" w:space="0"/>
          <w:insideV w:val="none" w:color="auto" w:sz="0" w:space="0"/>
        </w:tblBorders>
        <w:tblLayout w:type="fixed"/>
        <w:tblCellMar>
          <w:top w:w="0" w:type="dxa"/>
          <w:left w:w="28" w:type="dxa"/>
          <w:bottom w:w="0" w:type="dxa"/>
          <w:right w:w="28" w:type="dxa"/>
        </w:tblCellMar>
      </w:tblPr>
      <w:tblGrid>
        <w:gridCol w:w="4486"/>
        <w:gridCol w:w="4358"/>
      </w:tblGrid>
      <w:tr w14:paraId="2E6403BA">
        <w:tblPrEx>
          <w:tblBorders>
            <w:top w:val="single" w:color="auto" w:sz="12" w:space="0"/>
            <w:left w:val="none" w:color="auto" w:sz="0" w:space="0"/>
            <w:bottom w:val="single" w:color="auto" w:sz="12" w:space="0"/>
            <w:right w:val="none" w:color="auto" w:sz="0" w:space="0"/>
            <w:insideH w:val="single" w:color="auto" w:sz="4" w:space="0"/>
            <w:insideV w:val="none" w:color="auto" w:sz="0" w:space="0"/>
          </w:tblBorders>
          <w:tblCellMar>
            <w:top w:w="0" w:type="dxa"/>
            <w:left w:w="28" w:type="dxa"/>
            <w:bottom w:w="0" w:type="dxa"/>
            <w:right w:w="28" w:type="dxa"/>
          </w:tblCellMar>
        </w:tblPrEx>
        <w:trPr>
          <w:trHeight w:val="567" w:hRule="atLeast"/>
          <w:jc w:val="center"/>
        </w:trPr>
        <w:tc>
          <w:tcPr>
            <w:tcW w:w="4486" w:type="dxa"/>
            <w:tcBorders>
              <w:tl2br w:val="nil"/>
              <w:tr2bl w:val="nil"/>
            </w:tcBorders>
            <w:noWrap w:val="0"/>
            <w:vAlign w:val="center"/>
          </w:tcPr>
          <w:p w14:paraId="5CDA389B">
            <w:pPr>
              <w:keepNext w:val="0"/>
              <w:keepLines w:val="0"/>
              <w:pageBreakBefore w:val="0"/>
              <w:widowControl w:val="0"/>
              <w:kinsoku/>
              <w:wordWrap/>
              <w:overflowPunct/>
              <w:topLinePunct w:val="0"/>
              <w:autoSpaceDE/>
              <w:autoSpaceDN/>
              <w:bidi w:val="0"/>
              <w:adjustRightInd/>
              <w:snapToGrid/>
              <w:spacing w:line="240" w:lineRule="auto"/>
              <w:ind w:left="210" w:leftChars="100" w:right="0" w:rightChars="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lang w:eastAsia="zh-CN"/>
              </w:rPr>
              <w:t>福州黎明职业技术学院</w:t>
            </w:r>
            <w:r>
              <w:rPr>
                <w:rFonts w:hint="eastAsia" w:ascii="仿宋_GB2312" w:hAnsi="仿宋_GB2312" w:eastAsia="仿宋_GB2312" w:cs="仿宋_GB2312"/>
                <w:color w:val="auto"/>
                <w:sz w:val="28"/>
                <w:szCs w:val="28"/>
              </w:rPr>
              <w:t>办公室</w:t>
            </w:r>
          </w:p>
        </w:tc>
        <w:tc>
          <w:tcPr>
            <w:tcW w:w="4358" w:type="dxa"/>
            <w:tcBorders>
              <w:tl2br w:val="nil"/>
              <w:tr2bl w:val="nil"/>
            </w:tcBorders>
            <w:noWrap w:val="0"/>
            <w:vAlign w:val="center"/>
          </w:tcPr>
          <w:p w14:paraId="13CB8668">
            <w:pPr>
              <w:keepNext w:val="0"/>
              <w:keepLines w:val="0"/>
              <w:pageBreakBefore w:val="0"/>
              <w:widowControl w:val="0"/>
              <w:kinsoku/>
              <w:wordWrap/>
              <w:overflowPunct/>
              <w:topLinePunct w:val="0"/>
              <w:autoSpaceDE/>
              <w:autoSpaceDN/>
              <w:bidi w:val="0"/>
              <w:adjustRightInd/>
              <w:snapToGrid/>
              <w:spacing w:afterAutospacing="0" w:line="240" w:lineRule="auto"/>
              <w:ind w:right="210" w:rightChars="100" w:firstLine="0" w:firstLineChars="0"/>
              <w:jc w:val="right"/>
              <w:textAlignment w:val="bottom"/>
              <w:rPr>
                <w:rFonts w:hint="eastAsia" w:ascii="仿宋_GB2312" w:hAnsi="仿宋_GB2312" w:eastAsia="仿宋_GB2312" w:cs="仿宋_GB2312"/>
                <w:color w:val="auto"/>
                <w:sz w:val="28"/>
                <w:szCs w:val="28"/>
              </w:rPr>
            </w:pPr>
            <w:r>
              <w:rPr>
                <w:rFonts w:hint="default" w:ascii="仿宋_GB2312" w:hAnsi="仿宋_GB2312" w:eastAsia="仿宋_GB2312" w:cs="仿宋_GB2312"/>
                <w:color w:val="auto"/>
                <w:sz w:val="28"/>
                <w:szCs w:val="28"/>
                <w:lang w:val="en"/>
              </w:rPr>
              <w:t>202</w:t>
            </w:r>
            <w:r>
              <w:rPr>
                <w:rFonts w:hint="eastAsia" w:ascii="仿宋_GB2312" w:hAnsi="仿宋_GB2312" w:eastAsia="仿宋_GB2312" w:cs="仿宋_GB2312"/>
                <w:color w:val="auto"/>
                <w:sz w:val="28"/>
                <w:szCs w:val="28"/>
                <w:lang w:val="en-US" w:eastAsia="zh-CN"/>
              </w:rPr>
              <w:t>5</w:t>
            </w:r>
            <w:r>
              <w:rPr>
                <w:rFonts w:hint="default" w:ascii="仿宋_GB2312" w:hAnsi="仿宋_GB2312" w:eastAsia="仿宋_GB2312" w:cs="仿宋_GB2312"/>
                <w:color w:val="auto"/>
                <w:sz w:val="28"/>
                <w:szCs w:val="28"/>
                <w:lang w:val="en"/>
              </w:rPr>
              <w:t>年</w:t>
            </w:r>
            <w:r>
              <w:rPr>
                <w:rFonts w:hint="eastAsia" w:ascii="仿宋_GB2312" w:hAnsi="仿宋_GB2312" w:eastAsia="仿宋_GB2312" w:cs="仿宋_GB2312"/>
                <w:color w:val="auto"/>
                <w:sz w:val="28"/>
                <w:szCs w:val="28"/>
                <w:lang w:val="en-US" w:eastAsia="zh-CN"/>
              </w:rPr>
              <w:t>10</w:t>
            </w:r>
            <w:r>
              <w:rPr>
                <w:rFonts w:hint="default" w:ascii="仿宋_GB2312" w:hAnsi="仿宋_GB2312" w:eastAsia="仿宋_GB2312" w:cs="仿宋_GB2312"/>
                <w:color w:val="auto"/>
                <w:sz w:val="28"/>
                <w:szCs w:val="28"/>
                <w:lang w:val="en"/>
              </w:rPr>
              <w:t>月</w:t>
            </w:r>
            <w:r>
              <w:rPr>
                <w:rFonts w:hint="eastAsia" w:ascii="仿宋_GB2312" w:hAnsi="仿宋_GB2312" w:eastAsia="仿宋_GB2312" w:cs="仿宋_GB2312"/>
                <w:color w:val="auto"/>
                <w:sz w:val="28"/>
                <w:szCs w:val="28"/>
                <w:lang w:val="en-US" w:eastAsia="zh-CN"/>
              </w:rPr>
              <w:t>24</w:t>
            </w:r>
            <w:r>
              <w:rPr>
                <w:rFonts w:hint="default" w:ascii="仿宋_GB2312" w:hAnsi="仿宋_GB2312" w:eastAsia="仿宋_GB2312" w:cs="仿宋_GB2312"/>
                <w:color w:val="auto"/>
                <w:sz w:val="28"/>
                <w:szCs w:val="28"/>
                <w:lang w:val="en"/>
              </w:rPr>
              <w:t>日</w:t>
            </w:r>
            <w:r>
              <w:rPr>
                <w:rFonts w:hint="eastAsia" w:ascii="仿宋_GB2312" w:hAnsi="仿宋_GB2312" w:eastAsia="仿宋_GB2312" w:cs="仿宋_GB2312"/>
                <w:color w:val="auto"/>
                <w:sz w:val="28"/>
                <w:szCs w:val="28"/>
              </w:rPr>
              <w:t>印发</w:t>
            </w:r>
          </w:p>
        </w:tc>
      </w:tr>
    </w:tbl>
    <w:p w14:paraId="48766162">
      <w:pPr>
        <w:keepNext w:val="0"/>
        <w:keepLines w:val="0"/>
        <w:pageBreakBefore w:val="0"/>
        <w:widowControl w:val="0"/>
        <w:kinsoku/>
        <w:wordWrap/>
        <w:overflowPunct/>
        <w:topLinePunct w:val="0"/>
        <w:autoSpaceDE/>
        <w:autoSpaceDN/>
        <w:bidi w:val="0"/>
        <w:adjustRightInd/>
        <w:snapToGrid/>
        <w:spacing w:line="20" w:lineRule="exact"/>
        <w:textAlignment w:val="auto"/>
      </w:pPr>
    </w:p>
    <w:sectPr>
      <w:footerReference r:id="rId3" w:type="default"/>
      <w:pgSz w:w="11906" w:h="16838"/>
      <w:pgMar w:top="1440" w:right="1803" w:bottom="1440" w:left="1803"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A45FB">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11A0FD">
                          <w:pPr>
                            <w:pStyle w:val="6"/>
                          </w:pPr>
                          <w:r>
                            <w:t>—</w:t>
                          </w:r>
                          <w:r>
                            <w:rPr>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411A0FD">
                    <w:pPr>
                      <w:pStyle w:val="6"/>
                    </w:pPr>
                    <w:r>
                      <w:t>—</w:t>
                    </w:r>
                    <w:r>
                      <w:rPr>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0M2JmMTdmZDFkMDE4MWM1MjU3YzFhYTRlMWI5ZTYifQ=="/>
  </w:docVars>
  <w:rsids>
    <w:rsidRoot w:val="747F5EB1"/>
    <w:rsid w:val="002F4F63"/>
    <w:rsid w:val="00D1270E"/>
    <w:rsid w:val="030C5378"/>
    <w:rsid w:val="035C3CEF"/>
    <w:rsid w:val="05CF2E14"/>
    <w:rsid w:val="077702AA"/>
    <w:rsid w:val="0E1314D8"/>
    <w:rsid w:val="10F651AD"/>
    <w:rsid w:val="13786BD5"/>
    <w:rsid w:val="13FD017F"/>
    <w:rsid w:val="15076C59"/>
    <w:rsid w:val="157B0FA9"/>
    <w:rsid w:val="178B7C0C"/>
    <w:rsid w:val="1C0C2F8E"/>
    <w:rsid w:val="1E256308"/>
    <w:rsid w:val="21447AE5"/>
    <w:rsid w:val="218D4506"/>
    <w:rsid w:val="2B6D67DC"/>
    <w:rsid w:val="2C245E51"/>
    <w:rsid w:val="2D747A9E"/>
    <w:rsid w:val="2EA16469"/>
    <w:rsid w:val="2F0E0DA7"/>
    <w:rsid w:val="37DA58A3"/>
    <w:rsid w:val="39540C41"/>
    <w:rsid w:val="39F96B6F"/>
    <w:rsid w:val="3A8E2E1A"/>
    <w:rsid w:val="443240B8"/>
    <w:rsid w:val="4575533A"/>
    <w:rsid w:val="46576E82"/>
    <w:rsid w:val="468246B2"/>
    <w:rsid w:val="47A10846"/>
    <w:rsid w:val="49A414F5"/>
    <w:rsid w:val="4DF33833"/>
    <w:rsid w:val="52406017"/>
    <w:rsid w:val="54442C38"/>
    <w:rsid w:val="546932C1"/>
    <w:rsid w:val="594910BA"/>
    <w:rsid w:val="5B0441B1"/>
    <w:rsid w:val="5C175B04"/>
    <w:rsid w:val="5C244881"/>
    <w:rsid w:val="5D0F2720"/>
    <w:rsid w:val="5DB93B95"/>
    <w:rsid w:val="61957EDA"/>
    <w:rsid w:val="66846F11"/>
    <w:rsid w:val="6A4C19A3"/>
    <w:rsid w:val="6EEE18A6"/>
    <w:rsid w:val="703A6FBE"/>
    <w:rsid w:val="747F5EB1"/>
    <w:rsid w:val="74C535A1"/>
    <w:rsid w:val="75693128"/>
    <w:rsid w:val="794559D8"/>
    <w:rsid w:val="7B1A513C"/>
    <w:rsid w:val="7B9C5B76"/>
    <w:rsid w:val="7BFD5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firstLineChars="200"/>
    </w:pPr>
    <w:rPr>
      <w:rFonts w:cs="Times New Roman"/>
    </w:rPr>
  </w:style>
  <w:style w:type="paragraph" w:styleId="4">
    <w:name w:val="Body Text"/>
    <w:basedOn w:val="1"/>
    <w:qFormat/>
    <w:uiPriority w:val="0"/>
    <w:pPr>
      <w:spacing w:after="120"/>
    </w:pPr>
  </w:style>
  <w:style w:type="paragraph" w:styleId="5">
    <w:name w:val="Body Text Indent"/>
    <w:basedOn w:val="1"/>
    <w:qFormat/>
    <w:uiPriority w:val="0"/>
    <w:pPr>
      <w:ind w:firstLine="560" w:firstLineChars="200"/>
    </w:pPr>
    <w:rPr>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99"/>
    <w:pPr>
      <w:widowControl/>
      <w:spacing w:before="100" w:beforeLines="0" w:beforeAutospacing="1" w:after="100" w:afterLines="0" w:afterAutospacing="1"/>
      <w:jc w:val="left"/>
    </w:pPr>
    <w:rPr>
      <w:rFonts w:ascii="宋体" w:hAnsi="宋体" w:eastAsia="宋体" w:cs="宋体"/>
      <w:kern w:val="0"/>
      <w:sz w:val="24"/>
      <w:szCs w:val="24"/>
    </w:rPr>
  </w:style>
  <w:style w:type="paragraph" w:styleId="9">
    <w:name w:val="Body Text First Indent"/>
    <w:basedOn w:val="4"/>
    <w:qFormat/>
    <w:uiPriority w:val="0"/>
    <w:pPr>
      <w:ind w:firstLine="420" w:firstLineChars="100"/>
    </w:pPr>
    <w:rPr>
      <w:rFonts w:ascii="Calibri" w:hAnsi="Calibri"/>
      <w:kern w:val="0"/>
      <w:sz w:val="20"/>
      <w:szCs w:val="20"/>
    </w:rPr>
  </w:style>
  <w:style w:type="character" w:styleId="12">
    <w:name w:val="page number"/>
    <w:basedOn w:val="11"/>
    <w:qFormat/>
    <w:uiPriority w:val="0"/>
  </w:style>
  <w:style w:type="paragraph" w:customStyle="1" w:styleId="13">
    <w:name w:val="style25"/>
    <w:basedOn w:val="1"/>
    <w:qFormat/>
    <w:uiPriority w:val="0"/>
    <w:pPr>
      <w:widowControl/>
      <w:spacing w:before="100" w:beforeAutospacing="1" w:after="100" w:afterAutospacing="1"/>
      <w:jc w:val="left"/>
    </w:pPr>
    <w:rPr>
      <w:rFonts w:ascii="宋体" w:hAnsi="宋体" w:cs="宋体"/>
      <w:b/>
      <w:bCs/>
      <w:color w:val="000000"/>
      <w:kern w:val="0"/>
      <w:sz w:val="72"/>
      <w:szCs w:val="72"/>
    </w:rPr>
  </w:style>
  <w:style w:type="paragraph" w:customStyle="1" w:styleId="14">
    <w:name w:val="Body text|1"/>
    <w:qFormat/>
    <w:uiPriority w:val="0"/>
    <w:pPr>
      <w:widowControl w:val="0"/>
      <w:spacing w:line="451" w:lineRule="auto"/>
      <w:ind w:firstLine="400"/>
      <w:jc w:val="both"/>
    </w:pPr>
    <w:rPr>
      <w:rFonts w:ascii="宋体" w:hAnsi="宋体" w:eastAsia="宋体" w:cs="宋体"/>
      <w:color w:val="2B3652"/>
      <w:kern w:val="2"/>
      <w:sz w:val="28"/>
      <w:szCs w:val="28"/>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642</Words>
  <Characters>836</Characters>
  <Lines>0</Lines>
  <Paragraphs>0</Paragraphs>
  <TotalTime>8</TotalTime>
  <ScaleCrop>false</ScaleCrop>
  <LinksUpToDate>false</LinksUpToDate>
  <CharactersWithSpaces>942</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2022-05-19T07:33:00Z</dcterms:created>
  <dc:creator>heySylvie</dc:creator>
  <cp:lastModifiedBy>Lenovo</cp:lastModifiedBy>
  <cp:lastPrinted>2022-06-07T00:50:00Z</cp:lastPrinted>
  <dcterms:modified xsi:type="dcterms:W3CDTF">2025-10-24T07:25:59Z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134852C2091F4B538C0BC59F70416671</vt:lpwstr>
  </property>
  <property fmtid="{D5CDD505-2E9C-101B-9397-08002B2CF9AE}" pid="4" name="KSOTemplateDocerSaveRecord">
    <vt:lpwstr>eyJoZGlkIjoiOTk0M2JmMTdmZDFkMDE4MWM1MjU3YzFhYTRlMWI5ZTYifQ==</vt:lpwstr>
  </property>
</Properties>
</file>